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23" w:tblpY="324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760"/>
        <w:gridCol w:w="750"/>
        <w:gridCol w:w="803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24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06" w:type="dxa"/>
            <w:vMerge w:val="restart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91"/>
              <w:ind w:left="160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760" w:type="dxa"/>
            <w:vMerge w:val="restart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86" w:line="242" w:lineRule="auto"/>
              <w:ind w:left="19" w:right="8"/>
              <w:jc w:val="both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750" w:type="dxa"/>
            <w:vMerge w:val="restart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9"/>
              <w:rPr>
                <w:sz w:val="26"/>
              </w:rPr>
            </w:pPr>
          </w:p>
          <w:p>
            <w:pPr>
              <w:pStyle w:val="5"/>
              <w:spacing w:line="242" w:lineRule="auto"/>
              <w:ind w:left="15" w:right="2"/>
              <w:rPr>
                <w:sz w:val="24"/>
              </w:rPr>
            </w:pPr>
            <w:r>
              <w:rPr>
                <w:sz w:val="24"/>
              </w:rPr>
              <w:t>组织机构代码</w:t>
            </w:r>
          </w:p>
        </w:tc>
        <w:tc>
          <w:tcPr>
            <w:tcW w:w="803" w:type="dxa"/>
            <w:vMerge w:val="restart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9"/>
              <w:rPr>
                <w:sz w:val="26"/>
              </w:rPr>
            </w:pPr>
          </w:p>
          <w:p>
            <w:pPr>
              <w:pStyle w:val="5"/>
              <w:spacing w:line="242" w:lineRule="auto"/>
              <w:ind w:left="283" w:right="27" w:hanging="240"/>
              <w:rPr>
                <w:sz w:val="24"/>
              </w:rPr>
            </w:pPr>
            <w:r>
              <w:rPr>
                <w:sz w:val="24"/>
              </w:rPr>
              <w:t>单位全称</w:t>
            </w:r>
          </w:p>
        </w:tc>
        <w:tc>
          <w:tcPr>
            <w:tcW w:w="7245" w:type="dxa"/>
            <w:gridSpan w:val="9"/>
            <w:noWrap w:val="0"/>
            <w:vAlign w:val="top"/>
          </w:tcPr>
          <w:p>
            <w:pPr>
              <w:pStyle w:val="5"/>
              <w:spacing w:before="14" w:line="292" w:lineRule="exact"/>
              <w:ind w:left="2289" w:right="2265"/>
              <w:jc w:val="center"/>
              <w:rPr>
                <w:sz w:val="24"/>
              </w:rPr>
            </w:pPr>
            <w:r>
              <w:rPr>
                <w:sz w:val="24"/>
              </w:rPr>
              <w:t>行政处罚实施数量（件）</w:t>
            </w:r>
          </w:p>
        </w:tc>
        <w:tc>
          <w:tcPr>
            <w:tcW w:w="805" w:type="dxa"/>
            <w:vMerge w:val="restart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86" w:line="242" w:lineRule="auto"/>
              <w:ind w:left="56" w:right="16"/>
              <w:jc w:val="both"/>
              <w:rPr>
                <w:sz w:val="24"/>
              </w:rPr>
            </w:pPr>
            <w:r>
              <w:rPr>
                <w:sz w:val="24"/>
              </w:rPr>
              <w:t>罚没金额（万元）</w:t>
            </w:r>
          </w:p>
        </w:tc>
        <w:tc>
          <w:tcPr>
            <w:tcW w:w="2406" w:type="dxa"/>
            <w:noWrap w:val="0"/>
            <w:vAlign w:val="top"/>
          </w:tcPr>
          <w:p>
            <w:pPr>
              <w:pStyle w:val="5"/>
              <w:spacing w:before="14" w:line="292" w:lineRule="exact"/>
              <w:ind w:left="959" w:right="916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80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2"/>
              <w:rPr>
                <w:sz w:val="25"/>
              </w:rPr>
            </w:pPr>
          </w:p>
          <w:p>
            <w:pPr>
              <w:pStyle w:val="5"/>
              <w:ind w:left="164"/>
              <w:rPr>
                <w:sz w:val="24"/>
              </w:rPr>
            </w:pPr>
            <w:r>
              <w:rPr>
                <w:sz w:val="24"/>
              </w:rPr>
              <w:t>警告</w:t>
            </w:r>
          </w:p>
        </w:tc>
        <w:tc>
          <w:tcPr>
            <w:tcW w:w="805" w:type="dxa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2"/>
              <w:rPr>
                <w:sz w:val="25"/>
              </w:rPr>
            </w:pPr>
          </w:p>
          <w:p>
            <w:pPr>
              <w:pStyle w:val="5"/>
              <w:ind w:left="165"/>
              <w:rPr>
                <w:sz w:val="24"/>
              </w:rPr>
            </w:pPr>
            <w:r>
              <w:rPr>
                <w:sz w:val="24"/>
              </w:rPr>
              <w:t>罚款</w:t>
            </w:r>
          </w:p>
        </w:tc>
        <w:tc>
          <w:tcPr>
            <w:tcW w:w="805" w:type="dxa"/>
            <w:noWrap w:val="0"/>
            <w:vAlign w:val="top"/>
          </w:tcPr>
          <w:p>
            <w:pPr>
              <w:pStyle w:val="5"/>
              <w:spacing w:before="14" w:line="310" w:lineRule="atLeast"/>
              <w:ind w:left="49" w:right="23"/>
              <w:jc w:val="center"/>
              <w:rPr>
                <w:sz w:val="24"/>
              </w:rPr>
            </w:pPr>
            <w:r>
              <w:rPr>
                <w:sz w:val="24"/>
              </w:rPr>
              <w:t>没收违法 所 得、没收非法财物</w:t>
            </w:r>
          </w:p>
        </w:tc>
        <w:tc>
          <w:tcPr>
            <w:tcW w:w="805" w:type="dxa"/>
            <w:noWrap w:val="0"/>
            <w:vAlign w:val="top"/>
          </w:tcPr>
          <w:p>
            <w:pPr>
              <w:pStyle w:val="5"/>
              <w:spacing w:before="8"/>
              <w:rPr>
                <w:sz w:val="25"/>
              </w:rPr>
            </w:pPr>
          </w:p>
          <w:p>
            <w:pPr>
              <w:pStyle w:val="5"/>
              <w:spacing w:line="242" w:lineRule="auto"/>
              <w:ind w:left="48" w:right="24"/>
              <w:jc w:val="both"/>
              <w:rPr>
                <w:sz w:val="24"/>
              </w:rPr>
            </w:pPr>
            <w:r>
              <w:rPr>
                <w:sz w:val="24"/>
              </w:rPr>
              <w:t>暂扣许可证、执照</w:t>
            </w:r>
          </w:p>
        </w:tc>
        <w:tc>
          <w:tcPr>
            <w:tcW w:w="805" w:type="dxa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77" w:line="242" w:lineRule="auto"/>
              <w:ind w:left="49" w:right="23"/>
              <w:rPr>
                <w:sz w:val="24"/>
              </w:rPr>
            </w:pPr>
            <w:r>
              <w:rPr>
                <w:sz w:val="24"/>
              </w:rPr>
              <w:t>责令停产停业</w:t>
            </w:r>
          </w:p>
        </w:tc>
        <w:tc>
          <w:tcPr>
            <w:tcW w:w="805" w:type="dxa"/>
            <w:noWrap w:val="0"/>
            <w:vAlign w:val="top"/>
          </w:tcPr>
          <w:p>
            <w:pPr>
              <w:pStyle w:val="5"/>
              <w:spacing w:before="8"/>
              <w:rPr>
                <w:sz w:val="25"/>
              </w:rPr>
            </w:pPr>
          </w:p>
          <w:p>
            <w:pPr>
              <w:pStyle w:val="5"/>
              <w:spacing w:line="242" w:lineRule="auto"/>
              <w:ind w:left="51" w:right="21"/>
              <w:jc w:val="both"/>
              <w:rPr>
                <w:sz w:val="24"/>
              </w:rPr>
            </w:pPr>
            <w:r>
              <w:rPr>
                <w:sz w:val="24"/>
              </w:rPr>
              <w:t>吊销许可证、执照</w:t>
            </w:r>
          </w:p>
        </w:tc>
        <w:tc>
          <w:tcPr>
            <w:tcW w:w="805" w:type="dxa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77" w:line="242" w:lineRule="auto"/>
              <w:ind w:left="292" w:right="20" w:hanging="240"/>
              <w:rPr>
                <w:sz w:val="24"/>
              </w:rPr>
            </w:pPr>
            <w:r>
              <w:rPr>
                <w:sz w:val="24"/>
              </w:rPr>
              <w:t>行政拘留</w:t>
            </w:r>
          </w:p>
        </w:tc>
        <w:tc>
          <w:tcPr>
            <w:tcW w:w="805" w:type="dxa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77" w:line="242" w:lineRule="auto"/>
              <w:ind w:left="53" w:right="19"/>
              <w:rPr>
                <w:sz w:val="24"/>
              </w:rPr>
            </w:pPr>
            <w:r>
              <w:rPr>
                <w:sz w:val="24"/>
              </w:rPr>
              <w:t>其他行政处罚</w:t>
            </w:r>
          </w:p>
        </w:tc>
        <w:tc>
          <w:tcPr>
            <w:tcW w:w="805" w:type="dxa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77"/>
              <w:ind w:left="117"/>
              <w:rPr>
                <w:sz w:val="24"/>
              </w:rPr>
            </w:pPr>
            <w:r>
              <w:rPr>
                <w:sz w:val="24"/>
              </w:rPr>
              <w:t>合 计</w:t>
            </w:r>
          </w:p>
          <w:p>
            <w:pPr>
              <w:pStyle w:val="5"/>
              <w:spacing w:before="4"/>
              <w:ind w:left="57"/>
              <w:rPr>
                <w:sz w:val="24"/>
              </w:rPr>
            </w:pPr>
            <w:r>
              <w:rPr>
                <w:sz w:val="24"/>
              </w:rPr>
              <w:t>（件）</w:t>
            </w:r>
          </w:p>
        </w:tc>
        <w:tc>
          <w:tcPr>
            <w:tcW w:w="80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06" w:type="dxa"/>
            <w:noWrap w:val="0"/>
            <w:vAlign w:val="top"/>
          </w:tcPr>
          <w:p>
            <w:pPr>
              <w:pStyle w:val="5"/>
              <w:spacing w:before="30"/>
              <w:ind w:left="3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115103000083202018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攀枝花市教育和体育局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240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119" w:type="dxa"/>
            <w:gridSpan w:val="4"/>
            <w:noWrap w:val="0"/>
            <w:vAlign w:val="top"/>
          </w:tcPr>
          <w:p>
            <w:pPr>
              <w:pStyle w:val="5"/>
              <w:spacing w:line="308" w:lineRule="exact"/>
              <w:ind w:left="1301" w:right="1288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合计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240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3" w:hRule="atLeast"/>
        </w:trPr>
        <w:tc>
          <w:tcPr>
            <w:tcW w:w="13575" w:type="dxa"/>
            <w:gridSpan w:val="15"/>
            <w:noWrap w:val="0"/>
            <w:vAlign w:val="top"/>
          </w:tcPr>
          <w:p>
            <w:pPr>
              <w:pStyle w:val="5"/>
              <w:spacing w:before="14"/>
              <w:ind w:left="14"/>
              <w:rPr>
                <w:sz w:val="24"/>
              </w:rPr>
            </w:pPr>
            <w:r>
              <w:rPr>
                <w:sz w:val="24"/>
              </w:rPr>
              <w:t>说明：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196"/>
              </w:tabs>
              <w:spacing w:before="4" w:line="242" w:lineRule="auto"/>
              <w:ind w:right="-15" w:hanging="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行政处罚实施数量的统计范围为统计年度 </w:t>
            </w:r>
            <w:r>
              <w:rPr>
                <w:rFonts w:ascii="Times New Roman" w:eastAsia="Times New Roman"/>
                <w:position w:val="1"/>
                <w:sz w:val="24"/>
              </w:rPr>
              <w:t>1</w:t>
            </w:r>
            <w:r>
              <w:rPr>
                <w:rFonts w:ascii="Times New Roman" w:eastAsia="Times New Roman"/>
                <w:spacing w:val="-6"/>
                <w:position w:val="1"/>
                <w:sz w:val="24"/>
              </w:rPr>
              <w:t xml:space="preserve"> </w:t>
            </w:r>
            <w:r>
              <w:rPr>
                <w:spacing w:val="-33"/>
                <w:sz w:val="24"/>
              </w:rPr>
              <w:t xml:space="preserve">月 </w:t>
            </w:r>
            <w:r>
              <w:rPr>
                <w:rFonts w:ascii="Times New Roman" w:eastAsia="Times New Roman"/>
                <w:position w:val="1"/>
                <w:sz w:val="24"/>
              </w:rPr>
              <w:t>1</w:t>
            </w:r>
            <w:r>
              <w:rPr>
                <w:rFonts w:ascii="Times New Roman" w:eastAsia="Times New Roman"/>
                <w:spacing w:val="-6"/>
                <w:position w:val="1"/>
                <w:sz w:val="24"/>
              </w:rPr>
              <w:t xml:space="preserve"> </w:t>
            </w:r>
            <w:r>
              <w:rPr>
                <w:spacing w:val="-22"/>
                <w:sz w:val="24"/>
              </w:rPr>
              <w:t xml:space="preserve">日至 </w:t>
            </w:r>
            <w:r>
              <w:rPr>
                <w:rFonts w:ascii="Times New Roman" w:eastAsia="Times New Roman"/>
                <w:position w:val="1"/>
                <w:sz w:val="24"/>
              </w:rPr>
              <w:t>12</w:t>
            </w:r>
            <w:r>
              <w:rPr>
                <w:rFonts w:ascii="Times New Roman" w:eastAsia="Times New Roman"/>
                <w:spacing w:val="-6"/>
                <w:position w:val="1"/>
                <w:sz w:val="24"/>
              </w:rPr>
              <w:t xml:space="preserve"> </w:t>
            </w:r>
            <w:r>
              <w:rPr>
                <w:spacing w:val="-33"/>
                <w:sz w:val="24"/>
              </w:rPr>
              <w:t xml:space="preserve">月 </w:t>
            </w:r>
            <w:r>
              <w:rPr>
                <w:rFonts w:ascii="Times New Roman" w:eastAsia="Times New Roman"/>
                <w:position w:val="1"/>
                <w:sz w:val="24"/>
              </w:rPr>
              <w:t>31</w:t>
            </w:r>
            <w:r>
              <w:rPr>
                <w:rFonts w:ascii="Times New Roman" w:eastAsia="Times New Roman"/>
                <w:spacing w:val="-6"/>
                <w:position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日期间作出行政处罚决定的数量</w:t>
            </w:r>
            <w:r>
              <w:rPr>
                <w:sz w:val="24"/>
              </w:rPr>
              <w:t>（包括经行政复议或者行政诉讼被撤销的行政处罚决定数量）。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196"/>
              </w:tabs>
              <w:spacing w:before="3"/>
              <w:ind w:left="195"/>
              <w:rPr>
                <w:sz w:val="24"/>
              </w:rPr>
            </w:pPr>
            <w:r>
              <w:rPr>
                <w:sz w:val="24"/>
              </w:rPr>
              <w:t>其他行政处罚，为法律、行政法规规定的其他行政处罚，比如通报批评、驱逐出境等。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196"/>
              </w:tabs>
              <w:spacing w:before="5" w:line="242" w:lineRule="auto"/>
              <w:ind w:right="-144" w:firstLine="0"/>
              <w:jc w:val="both"/>
              <w:rPr>
                <w:sz w:val="24"/>
              </w:rPr>
            </w:pPr>
            <w:r>
              <w:rPr>
                <w:sz w:val="24"/>
              </w:rPr>
              <w:t>单处一个类别行政处罚的，计入相应的行政处罚类别；并处两种以上行政处罚的，算一宗行政处罚，计入最重的行政处罚类别。如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</w:t>
            </w:r>
            <w:r>
              <w:rPr>
                <w:spacing w:val="-2"/>
                <w:sz w:val="24"/>
              </w:rPr>
              <w:t>没收违法所得，并处罚款</w:t>
            </w:r>
            <w:r>
              <w:rPr>
                <w:rFonts w:ascii="Times New Roman" w:hAnsi="Times New Roman" w:eastAsia="Times New Roman"/>
                <w:spacing w:val="-7"/>
                <w:position w:val="1"/>
                <w:sz w:val="24"/>
              </w:rPr>
              <w:t>”</w:t>
            </w:r>
            <w:r>
              <w:rPr>
                <w:spacing w:val="-3"/>
                <w:sz w:val="24"/>
              </w:rPr>
              <w:t>，计入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</w:t>
            </w:r>
            <w:r>
              <w:rPr>
                <w:spacing w:val="-2"/>
                <w:sz w:val="24"/>
              </w:rPr>
              <w:t>没收违法所得、没收非法财物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”</w:t>
            </w:r>
            <w:r>
              <w:rPr>
                <w:spacing w:val="-5"/>
                <w:sz w:val="24"/>
              </w:rPr>
              <w:t>类别；并处明确类别的行政处罚和其他行政处罚的，计入明确</w:t>
            </w:r>
            <w:r>
              <w:rPr>
                <w:spacing w:val="-4"/>
                <w:sz w:val="24"/>
              </w:rPr>
              <w:t>类别的行政处罚，如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</w:t>
            </w:r>
            <w:r>
              <w:rPr>
                <w:spacing w:val="-5"/>
                <w:sz w:val="24"/>
              </w:rPr>
              <w:t>处罚款，并处其他行政处罚</w:t>
            </w:r>
            <w:r>
              <w:rPr>
                <w:rFonts w:ascii="Times New Roman" w:hAnsi="Times New Roman" w:eastAsia="Times New Roman"/>
                <w:spacing w:val="-13"/>
                <w:position w:val="1"/>
                <w:sz w:val="24"/>
              </w:rPr>
              <w:t>”</w:t>
            </w:r>
            <w:r>
              <w:rPr>
                <w:spacing w:val="-5"/>
                <w:sz w:val="24"/>
              </w:rPr>
              <w:t>，计入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</w:t>
            </w:r>
            <w:r>
              <w:rPr>
                <w:sz w:val="24"/>
              </w:rPr>
              <w:t>罚款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”</w:t>
            </w:r>
            <w:r>
              <w:rPr>
                <w:spacing w:val="-6"/>
                <w:sz w:val="24"/>
              </w:rPr>
              <w:t>类别。行政处罚类别从轻到重的顺序：</w:t>
            </w:r>
            <w:r>
              <w:rPr>
                <w:spacing w:val="-19"/>
                <w:sz w:val="24"/>
              </w:rPr>
              <w:t>（</w:t>
            </w:r>
            <w:r>
              <w:rPr>
                <w:rFonts w:ascii="Times New Roman" w:hAnsi="Times New Roman" w:eastAsia="Times New Roman"/>
                <w:spacing w:val="-19"/>
                <w:position w:val="1"/>
                <w:sz w:val="24"/>
              </w:rPr>
              <w:t>1</w:t>
            </w:r>
            <w:r>
              <w:rPr>
                <w:spacing w:val="-19"/>
                <w:sz w:val="24"/>
              </w:rPr>
              <w:t>）</w:t>
            </w:r>
            <w:r>
              <w:rPr>
                <w:spacing w:val="-8"/>
                <w:sz w:val="24"/>
              </w:rPr>
              <w:t>警告，</w:t>
            </w:r>
            <w:r>
              <w:rPr>
                <w:spacing w:val="-20"/>
                <w:sz w:val="24"/>
              </w:rPr>
              <w:t>（</w:t>
            </w:r>
            <w:r>
              <w:rPr>
                <w:rFonts w:ascii="Times New Roman" w:hAnsi="Times New Roman" w:eastAsia="Times New Roman"/>
                <w:spacing w:val="-20"/>
                <w:position w:val="1"/>
                <w:sz w:val="24"/>
              </w:rPr>
              <w:t>2</w:t>
            </w:r>
            <w:r>
              <w:rPr>
                <w:spacing w:val="-20"/>
                <w:sz w:val="24"/>
              </w:rPr>
              <w:t>）</w:t>
            </w:r>
            <w:r>
              <w:rPr>
                <w:spacing w:val="-5"/>
                <w:sz w:val="24"/>
              </w:rPr>
              <w:t>罚款，</w:t>
            </w:r>
            <w:r>
              <w:rPr>
                <w:spacing w:val="-14"/>
                <w:sz w:val="24"/>
              </w:rPr>
              <w:t>（</w:t>
            </w:r>
            <w:r>
              <w:rPr>
                <w:rFonts w:ascii="Times New Roman" w:hAnsi="Times New Roman" w:eastAsia="Times New Roman"/>
                <w:spacing w:val="-14"/>
                <w:position w:val="1"/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） </w:t>
            </w:r>
            <w:r>
              <w:rPr>
                <w:sz w:val="24"/>
              </w:rPr>
              <w:t>没收违法所得、没收非法财物，（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4</w:t>
            </w:r>
            <w:r>
              <w:rPr>
                <w:sz w:val="24"/>
              </w:rPr>
              <w:t>）暂扣许可证、执照，（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5</w:t>
            </w:r>
            <w:r>
              <w:rPr>
                <w:sz w:val="24"/>
              </w:rPr>
              <w:t>）责令停产停业，（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6</w:t>
            </w:r>
            <w:r>
              <w:rPr>
                <w:sz w:val="24"/>
              </w:rPr>
              <w:t>）吊销许可证、执照，（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7</w:t>
            </w:r>
            <w:r>
              <w:rPr>
                <w:sz w:val="24"/>
              </w:rPr>
              <w:t>）行政拘留。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196"/>
              </w:tabs>
              <w:spacing w:before="5"/>
              <w:ind w:left="195"/>
              <w:rPr>
                <w:sz w:val="24"/>
              </w:rPr>
            </w:pPr>
            <w:r>
              <w:rPr>
                <w:sz w:val="24"/>
              </w:rPr>
              <w:t>没收违法所得、没收非法财物能确定金额的，计入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</w:t>
            </w:r>
            <w:r>
              <w:rPr>
                <w:sz w:val="24"/>
              </w:rPr>
              <w:t>罚没金额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”</w:t>
            </w:r>
            <w:r>
              <w:rPr>
                <w:sz w:val="24"/>
              </w:rPr>
              <w:t>；不能确定金额的，不计入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</w:t>
            </w:r>
            <w:r>
              <w:rPr>
                <w:sz w:val="24"/>
              </w:rPr>
              <w:t>罚没金额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”</w:t>
            </w:r>
            <w:r>
              <w:rPr>
                <w:sz w:val="24"/>
              </w:rPr>
              <w:t>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196"/>
              </w:tabs>
              <w:spacing w:before="5" w:line="292" w:lineRule="exact"/>
              <w:ind w:left="195"/>
              <w:rPr>
                <w:sz w:val="24"/>
              </w:rPr>
            </w:pPr>
            <w:r>
              <w:rPr>
                <w:rFonts w:ascii="Times New Roman" w:hAnsi="Times New Roman" w:eastAsia="Times New Roman"/>
                <w:position w:val="1"/>
                <w:sz w:val="24"/>
              </w:rPr>
              <w:t>“</w:t>
            </w:r>
            <w:r>
              <w:rPr>
                <w:sz w:val="24"/>
              </w:rPr>
              <w:t>罚没金额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”</w:t>
            </w:r>
            <w:r>
              <w:rPr>
                <w:sz w:val="24"/>
              </w:rPr>
              <w:t>以处罚决定书确定的金额为准。</w:t>
            </w:r>
          </w:p>
        </w:tc>
      </w:tr>
    </w:tbl>
    <w:p>
      <w:pPr>
        <w:pStyle w:val="2"/>
        <w:spacing w:before="66"/>
        <w:ind w:right="260"/>
        <w:jc w:val="center"/>
        <w:rPr>
          <w:rFonts w:ascii="方正小标宋简体" w:eastAsia="方正小标宋简体"/>
          <w:b/>
          <w:position w:val="1"/>
          <w:sz w:val="44"/>
          <w:szCs w:val="44"/>
        </w:rPr>
      </w:pPr>
      <w:r>
        <w:rPr>
          <w:rFonts w:ascii="方正小标宋简体" w:eastAsia="方正小标宋简体"/>
          <w:b/>
          <w:position w:val="1"/>
          <w:sz w:val="44"/>
          <w:szCs w:val="44"/>
        </w:rPr>
        <w:t>2020 年度行政处罚实施情况统计表</w:t>
      </w:r>
    </w:p>
    <w:p>
      <w:pPr>
        <w:tabs>
          <w:tab w:val="left" w:pos="10238"/>
          <w:tab w:val="left" w:pos="11690"/>
          <w:tab w:val="left" w:pos="12290"/>
          <w:tab w:val="left" w:pos="12890"/>
        </w:tabs>
        <w:ind w:right="731"/>
        <w:jc w:val="center"/>
        <w:rPr>
          <w:sz w:val="24"/>
        </w:rPr>
      </w:pPr>
      <w:bookmarkStart w:id="0" w:name="_GoBack"/>
      <w:bookmarkEnd w:id="0"/>
      <w:r>
        <w:rPr>
          <w:spacing w:val="-1"/>
          <w:sz w:val="24"/>
        </w:rPr>
        <w:t>制表</w:t>
      </w:r>
      <w:r>
        <w:rPr>
          <w:rFonts w:hint="eastAsia"/>
          <w:spacing w:val="-1"/>
          <w:sz w:val="24"/>
          <w:lang w:eastAsia="zh-CN"/>
        </w:rPr>
        <w:t>单位（盖章）：</w:t>
      </w:r>
      <w:r>
        <w:rPr>
          <w:sz w:val="24"/>
        </w:rPr>
        <w:t>攀枝花市教育和体育局</w:t>
      </w:r>
      <w:r>
        <w:rPr>
          <w:sz w:val="24"/>
        </w:rPr>
        <w:tab/>
      </w:r>
      <w:r>
        <w:rPr>
          <w:spacing w:val="-1"/>
          <w:sz w:val="24"/>
        </w:rPr>
        <w:t>制表日期</w:t>
      </w:r>
      <w:r>
        <w:rPr>
          <w:sz w:val="24"/>
        </w:rPr>
        <w:t>：</w:t>
      </w:r>
      <w:r>
        <w:rPr>
          <w:rFonts w:hint="eastAsia"/>
          <w:sz w:val="24"/>
        </w:rPr>
        <w:t>2021</w:t>
      </w:r>
      <w:r>
        <w:rPr>
          <w:sz w:val="24"/>
        </w:rPr>
        <w:t>年</w:t>
      </w:r>
      <w:r>
        <w:rPr>
          <w:sz w:val="24"/>
        </w:rPr>
        <w:tab/>
      </w:r>
      <w:r>
        <w:rPr>
          <w:rFonts w:hint="eastAsia"/>
          <w:sz w:val="24"/>
        </w:rPr>
        <w:t>1</w:t>
      </w:r>
      <w:r>
        <w:rPr>
          <w:sz w:val="24"/>
        </w:rPr>
        <w:t>月</w:t>
      </w:r>
      <w:r>
        <w:rPr>
          <w:rFonts w:hint="eastAsia"/>
          <w:sz w:val="24"/>
        </w:rPr>
        <w:t>6</w:t>
      </w:r>
      <w:r>
        <w:rPr>
          <w:sz w:val="24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6597"/>
    <w:multiLevelType w:val="multilevel"/>
    <w:tmpl w:val="3BEE6597"/>
    <w:lvl w:ilvl="0" w:tentative="0">
      <w:start w:val="1"/>
      <w:numFmt w:val="decimal"/>
      <w:lvlText w:val="%1."/>
      <w:lvlJc w:val="left"/>
      <w:pPr>
        <w:ind w:left="14" w:hanging="182"/>
      </w:pPr>
      <w:rPr>
        <w:rFonts w:hint="default" w:ascii="Times New Roman" w:hAnsi="Times New Roman" w:eastAsia="Times New Roman" w:cs="Times New Roman"/>
        <w:spacing w:val="-1"/>
        <w:w w:val="100"/>
        <w:position w:val="1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74" w:hanging="18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729" w:hanging="18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083" w:hanging="18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438" w:hanging="18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792" w:hanging="18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8147" w:hanging="18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9501" w:hanging="18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0856" w:hanging="182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C2B9B"/>
    <w:rsid w:val="47A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2021-01-07T01:12:00Z</dcterms:created>
  <dc:creator>灯</dc:creator>
  <cp:lastModifiedBy>灯</cp:lastModifiedBy>
  <dcterms:modified xsi:type="dcterms:W3CDTF">2021-01-07T02:03:32Z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