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9"/>
        <w:ind w:right="730"/>
        <w:jc w:val="center"/>
        <w:rPr>
          <w:sz w:val="42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 xml:space="preserve">2020 </w:t>
      </w:r>
      <w:r>
        <w:rPr>
          <w:rFonts w:hint="eastAsia" w:ascii="方正小标宋简体" w:eastAsia="方正小标宋简体"/>
          <w:b/>
          <w:position w:val="1"/>
          <w:sz w:val="44"/>
          <w:szCs w:val="44"/>
        </w:rPr>
        <w:t>年度行政许可实施情况统计表</w:t>
      </w:r>
    </w:p>
    <w:bookmarkEnd w:id="0"/>
    <w:p>
      <w:pPr>
        <w:tabs>
          <w:tab w:val="left" w:pos="10238"/>
          <w:tab w:val="left" w:pos="11690"/>
          <w:tab w:val="left" w:pos="12290"/>
          <w:tab w:val="left" w:pos="12890"/>
        </w:tabs>
        <w:ind w:right="731"/>
        <w:jc w:val="center"/>
        <w:rPr>
          <w:sz w:val="24"/>
        </w:rPr>
      </w:pPr>
      <w:r>
        <w:rPr>
          <w:spacing w:val="-1"/>
          <w:sz w:val="24"/>
        </w:rPr>
        <w:t>制表</w:t>
      </w:r>
      <w:r>
        <w:rPr>
          <w:rFonts w:hint="eastAsia"/>
          <w:spacing w:val="-1"/>
          <w:sz w:val="24"/>
          <w:lang w:eastAsia="zh-CN"/>
        </w:rPr>
        <w:t>单位（盖章）：</w:t>
      </w:r>
      <w:r>
        <w:rPr>
          <w:sz w:val="24"/>
        </w:rPr>
        <w:t>攀枝花市教育和体育局</w:t>
      </w:r>
      <w:r>
        <w:rPr>
          <w:sz w:val="24"/>
        </w:rPr>
        <w:tab/>
      </w:r>
      <w:r>
        <w:rPr>
          <w:spacing w:val="-1"/>
          <w:sz w:val="24"/>
        </w:rPr>
        <w:t>制表日期</w:t>
      </w:r>
      <w:r>
        <w:rPr>
          <w:sz w:val="24"/>
        </w:rPr>
        <w:t>：</w:t>
      </w:r>
      <w:r>
        <w:rPr>
          <w:rFonts w:hint="eastAsia"/>
          <w:sz w:val="24"/>
        </w:rPr>
        <w:t>2021</w:t>
      </w:r>
      <w:r>
        <w:rPr>
          <w:sz w:val="24"/>
        </w:rPr>
        <w:t>年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sz w:val="24"/>
        </w:rPr>
        <w:t>月</w:t>
      </w:r>
      <w:r>
        <w:rPr>
          <w:rFonts w:hint="eastAsia"/>
          <w:sz w:val="24"/>
        </w:rPr>
        <w:t>6</w:t>
      </w:r>
      <w:r>
        <w:rPr>
          <w:sz w:val="24"/>
        </w:rPr>
        <w:t>日</w:t>
      </w:r>
    </w:p>
    <w:tbl>
      <w:tblPr>
        <w:tblStyle w:val="3"/>
        <w:tblpPr w:leftFromText="180" w:rightFromText="180" w:vertAnchor="text" w:horzAnchor="page" w:tblpX="1523" w:tblpY="34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207"/>
        <w:gridCol w:w="1209"/>
        <w:gridCol w:w="1207"/>
        <w:gridCol w:w="1207"/>
        <w:gridCol w:w="1320"/>
        <w:gridCol w:w="1358"/>
        <w:gridCol w:w="2294"/>
        <w:gridCol w:w="3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2" w:lineRule="auto"/>
              <w:ind w:left="14" w:right="94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1" w:line="310" w:lineRule="atLeast"/>
              <w:ind w:left="14" w:right="94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1209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" w:line="242" w:lineRule="auto"/>
              <w:ind w:left="14" w:right="942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组织机构代码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2" w:lineRule="auto"/>
              <w:ind w:left="15" w:right="93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单位全称</w:t>
            </w:r>
          </w:p>
        </w:tc>
        <w:tc>
          <w:tcPr>
            <w:tcW w:w="6179" w:type="dxa"/>
            <w:gridSpan w:val="4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76"/>
              <w:ind w:left="129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行政许可实施数量（件）</w:t>
            </w:r>
          </w:p>
        </w:tc>
        <w:tc>
          <w:tcPr>
            <w:tcW w:w="3088" w:type="dxa"/>
            <w:vMerge w:val="restart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183"/>
              <w:ind w:left="237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撤销许可的数量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12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2" w:lineRule="auto"/>
              <w:ind w:left="15" w:right="939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申请数量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2" w:lineRule="auto"/>
              <w:ind w:left="70" w:right="997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受理数量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2" w:lineRule="auto"/>
              <w:ind w:left="90" w:right="1015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许可的数量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2" w:lineRule="auto"/>
              <w:ind w:left="438" w:right="1003" w:hanging="36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不予许可的数量</w:t>
            </w:r>
          </w:p>
        </w:tc>
        <w:tc>
          <w:tcPr>
            <w:tcW w:w="3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0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before="30"/>
              <w:ind w:left="74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115103000083202018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攀枝花市教育和体育局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159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138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138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0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30" w:type="dxa"/>
            <w:gridSpan w:val="4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line="431" w:lineRule="exact"/>
              <w:ind w:left="1686" w:right="2613"/>
              <w:jc w:val="center"/>
              <w:rPr>
                <w:rFonts w:ascii="微软雅黑" w:hAnsi="宋体" w:eastAsia="微软雅黑" w:cs="宋体"/>
                <w:b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4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159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138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138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0</w:t>
            </w:r>
          </w:p>
        </w:tc>
        <w:tc>
          <w:tcPr>
            <w:tcW w:w="308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4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4097" w:type="dxa"/>
            <w:gridSpan w:val="9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"/>
              <w:ind w:left="14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说明：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before="4"/>
              <w:ind w:hanging="241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申请数量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spacing w:val="-6"/>
                <w:position w:val="1"/>
                <w:sz w:val="24"/>
                <w:szCs w:val="22"/>
                <w:lang w:val="en-US" w:eastAsia="zh-CN" w:bidi="ar-SA"/>
              </w:rPr>
              <w:t xml:space="preserve">的统计范围为统计年度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1</w:t>
            </w:r>
            <w:r>
              <w:rPr>
                <w:rFonts w:ascii="Times New Roman" w:hAnsi="Times New Roman" w:eastAsia="Times New Roman" w:cs="宋体"/>
                <w:spacing w:val="-1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position w:val="1"/>
                <w:sz w:val="24"/>
                <w:szCs w:val="22"/>
                <w:lang w:val="en-US" w:eastAsia="zh-CN" w:bidi="ar-SA"/>
              </w:rPr>
              <w:t xml:space="preserve">月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1</w:t>
            </w:r>
            <w:r>
              <w:rPr>
                <w:rFonts w:ascii="Times New Roman" w:hAnsi="Times New Roman" w:eastAsia="Times New Roman" w:cs="宋体"/>
                <w:spacing w:val="-1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position w:val="1"/>
                <w:sz w:val="24"/>
                <w:szCs w:val="22"/>
                <w:lang w:val="en-US" w:eastAsia="zh-CN" w:bidi="ar-SA"/>
              </w:rPr>
              <w:t xml:space="preserve">日至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12</w:t>
            </w:r>
            <w:r>
              <w:rPr>
                <w:rFonts w:ascii="Times New Roman" w:hAnsi="Times New Roman" w:eastAsia="Times New Roman" w:cs="宋体"/>
                <w:spacing w:val="-1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position w:val="1"/>
                <w:sz w:val="24"/>
                <w:szCs w:val="22"/>
                <w:lang w:val="en-US" w:eastAsia="zh-CN" w:bidi="ar-SA"/>
              </w:rPr>
              <w:t xml:space="preserve">月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31</w:t>
            </w:r>
            <w:r>
              <w:rPr>
                <w:rFonts w:ascii="Times New Roman" w:hAnsi="Times New Roman" w:eastAsia="Times New Roman" w:cs="宋体"/>
                <w:spacing w:val="-1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日期间许可机关收到当事人许可申请的数量。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autoSpaceDE w:val="0"/>
              <w:autoSpaceDN w:val="0"/>
              <w:spacing w:before="4" w:line="244" w:lineRule="auto"/>
              <w:ind w:left="14" w:right="978" w:firstLine="0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受理数量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、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许可的数量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、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不予许可的数量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、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撤销许可的数量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spacing w:val="-6"/>
                <w:position w:val="1"/>
                <w:sz w:val="24"/>
                <w:szCs w:val="22"/>
                <w:lang w:val="en-US" w:eastAsia="zh-CN" w:bidi="ar-SA"/>
              </w:rPr>
              <w:t xml:space="preserve">的统计范围为统计年度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1</w:t>
            </w:r>
            <w:r>
              <w:rPr>
                <w:rFonts w:ascii="Times New Roman" w:hAnsi="Times New Roman" w:eastAsia="Times New Roman" w:cs="宋体"/>
                <w:spacing w:val="-5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33"/>
                <w:position w:val="1"/>
                <w:sz w:val="24"/>
                <w:szCs w:val="22"/>
                <w:lang w:val="en-US" w:eastAsia="zh-CN" w:bidi="ar-SA"/>
              </w:rPr>
              <w:t xml:space="preserve">月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1</w:t>
            </w:r>
            <w:r>
              <w:rPr>
                <w:rFonts w:ascii="Times New Roman" w:hAnsi="Times New Roman" w:eastAsia="Times New Roman" w:cs="宋体"/>
                <w:spacing w:val="-5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position w:val="1"/>
                <w:sz w:val="24"/>
                <w:szCs w:val="22"/>
                <w:lang w:val="en-US" w:eastAsia="zh-CN" w:bidi="ar-SA"/>
              </w:rPr>
              <w:t xml:space="preserve">日至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12</w:t>
            </w:r>
            <w:r>
              <w:rPr>
                <w:rFonts w:ascii="Times New Roman" w:hAnsi="Times New Roman" w:eastAsia="Times New Roman" w:cs="宋体"/>
                <w:spacing w:val="-5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33"/>
                <w:position w:val="1"/>
                <w:sz w:val="24"/>
                <w:szCs w:val="22"/>
                <w:lang w:val="en-US" w:eastAsia="zh-CN" w:bidi="ar-SA"/>
              </w:rPr>
              <w:t xml:space="preserve">月 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31</w:t>
            </w:r>
            <w:r>
              <w:rPr>
                <w:rFonts w:ascii="Times New Roman" w:hAnsi="Times New Roman" w:eastAsia="Times New Roman" w:cs="宋体"/>
                <w:spacing w:val="-5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日期间许可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机关作出受理决定、许可决定、不予许可决定的数量，以及撤销许可决定的数量。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spacing w:line="304" w:lineRule="exact"/>
              <w:ind w:left="314" w:hanging="301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准予变更、延续和不予变更、延续的数量，分别计入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许可的数量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、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不予许可的数量</w:t>
            </w:r>
            <w:r>
              <w:rPr>
                <w:rFonts w:ascii="Times New Roman" w:hAnsi="Times New Roman" w:eastAsia="Times New Roman" w:cs="宋体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ascii="宋体" w:hAnsi="宋体" w:eastAsia="宋体" w:cs="宋体"/>
                <w:position w:val="1"/>
                <w:sz w:val="24"/>
                <w:szCs w:val="22"/>
                <w:lang w:val="en-US" w:eastAsia="zh-CN" w:bidi="ar-SA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910"/>
    <w:multiLevelType w:val="multilevel"/>
    <w:tmpl w:val="67A43910"/>
    <w:lvl w:ilvl="0" w:tentative="0">
      <w:start w:val="1"/>
      <w:numFmt w:val="decimal"/>
      <w:lvlText w:val="%1."/>
      <w:lvlJc w:val="left"/>
      <w:pPr>
        <w:ind w:left="254" w:hanging="24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2" w:hanging="24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25" w:hanging="24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408" w:hanging="24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790" w:hanging="24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173" w:hanging="24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556" w:hanging="24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9938" w:hanging="24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1321" w:hanging="24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81129"/>
    <w:rsid w:val="617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2021-01-07T01:12:00Z</dcterms:created>
  <dc:creator>灯</dc:creator>
  <cp:lastModifiedBy>灯</cp:lastModifiedBy>
  <dcterms:modified xsi:type="dcterms:W3CDTF">2021-01-07T02:02:31Z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